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2</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3</w:t>
      </w:r>
      <w:r>
        <w:rPr>
          <w:rFonts w:hint="eastAsia" w:ascii="宋体" w:hAnsi="宋体"/>
          <w:b/>
          <w:sz w:val="36"/>
          <w:szCs w:val="36"/>
          <w:u w:val="single"/>
        </w:rPr>
        <w:t>年度包装纸箱</w:t>
      </w:r>
      <w:r>
        <w:rPr>
          <w:rFonts w:hint="eastAsia" w:ascii="宋体" w:hAnsi="宋体"/>
          <w:b/>
          <w:sz w:val="36"/>
          <w:szCs w:val="36"/>
          <w:u w:val="single"/>
          <w:lang w:eastAsia="zh-CN"/>
        </w:rPr>
        <w:t>、</w:t>
      </w:r>
      <w:r>
        <w:rPr>
          <w:rFonts w:hint="eastAsia" w:ascii="宋体" w:hAnsi="宋体"/>
          <w:b/>
          <w:sz w:val="36"/>
          <w:szCs w:val="36"/>
          <w:u w:val="single"/>
          <w:lang w:val="en-US" w:eastAsia="zh-CN"/>
        </w:rPr>
        <w:t>纸板、纸护角询价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ind w:firstLine="720"/>
        <w:jc w:val="center"/>
        <w:rPr>
          <w:rFonts w:hAnsi="宋体"/>
          <w:b/>
          <w:sz w:val="36"/>
          <w:szCs w:val="36"/>
        </w:rPr>
      </w:pPr>
      <w:r>
        <w:rPr>
          <w:rFonts w:hint="eastAsia" w:hAnsi="宋体"/>
          <w:sz w:val="28"/>
          <w:szCs w:val="28"/>
          <w:lang w:val="en-US" w:eastAsia="zh-CN"/>
        </w:rPr>
        <w:t>2023</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商务及技术要求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3</w:t>
      </w:r>
      <w:r>
        <w:rPr>
          <w:rFonts w:hint="eastAsia" w:asciiTheme="minorEastAsia" w:hAnsiTheme="minorEastAsia" w:eastAsiaTheme="minorEastAsia"/>
          <w:b/>
          <w:bCs w:val="0"/>
          <w:sz w:val="28"/>
          <w:szCs w:val="28"/>
          <w:u w:val="single"/>
        </w:rPr>
        <w:t>年度包装纸箱</w:t>
      </w:r>
      <w:r>
        <w:rPr>
          <w:rFonts w:hint="eastAsia" w:asciiTheme="minorEastAsia" w:hAnsiTheme="minorEastAsia" w:eastAsiaTheme="minorEastAsia"/>
          <w:b/>
          <w:bCs w:val="0"/>
          <w:sz w:val="28"/>
          <w:szCs w:val="28"/>
          <w:u w:val="single"/>
          <w:lang w:eastAsia="zh-CN"/>
        </w:rPr>
        <w:t>、</w:t>
      </w:r>
      <w:r>
        <w:rPr>
          <w:rFonts w:hint="eastAsia" w:asciiTheme="minorEastAsia" w:hAnsiTheme="minorEastAsia" w:eastAsiaTheme="minorEastAsia"/>
          <w:b/>
          <w:bCs w:val="0"/>
          <w:sz w:val="28"/>
          <w:szCs w:val="28"/>
          <w:u w:val="single"/>
          <w:lang w:val="en-US" w:eastAsia="zh-CN"/>
        </w:rPr>
        <w:t>纸板、纸</w:t>
      </w:r>
      <w:r>
        <w:rPr>
          <w:rFonts w:hint="eastAsia"/>
          <w:b/>
          <w:bCs w:val="0"/>
          <w:sz w:val="28"/>
          <w:szCs w:val="28"/>
          <w:u w:val="single"/>
          <w:lang w:val="en-US" w:eastAsia="zh-CN"/>
        </w:rPr>
        <w:t>护角</w:t>
      </w:r>
      <w:r>
        <w:rPr>
          <w:rFonts w:hint="eastAsia" w:asciiTheme="minorEastAsia" w:hAnsiTheme="minorEastAsia" w:eastAsiaTheme="minorEastAsia"/>
          <w:b/>
          <w:bCs w:val="0"/>
          <w:sz w:val="28"/>
          <w:szCs w:val="28"/>
          <w:u w:val="single"/>
        </w:rPr>
        <w:t>采购项目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3</w:t>
      </w:r>
      <w:r>
        <w:rPr>
          <w:rFonts w:hint="eastAsia" w:asciiTheme="minorEastAsia" w:hAnsiTheme="minorEastAsia" w:eastAsiaTheme="minorEastAsia"/>
          <w:b/>
          <w:bCs w:val="0"/>
          <w:sz w:val="28"/>
          <w:szCs w:val="28"/>
          <w:u w:val="single"/>
        </w:rPr>
        <w:t>年度包装纸箱</w:t>
      </w:r>
      <w:r>
        <w:rPr>
          <w:rFonts w:hint="eastAsia" w:asciiTheme="minorEastAsia" w:hAnsiTheme="minorEastAsia" w:eastAsiaTheme="minorEastAsia"/>
          <w:b/>
          <w:bCs w:val="0"/>
          <w:sz w:val="28"/>
          <w:szCs w:val="28"/>
          <w:u w:val="single"/>
          <w:lang w:eastAsia="zh-CN"/>
        </w:rPr>
        <w:t>、</w:t>
      </w:r>
      <w:r>
        <w:rPr>
          <w:rFonts w:hint="eastAsia" w:asciiTheme="minorEastAsia" w:hAnsiTheme="minorEastAsia" w:eastAsiaTheme="minorEastAsia"/>
          <w:b/>
          <w:bCs w:val="0"/>
          <w:sz w:val="28"/>
          <w:szCs w:val="28"/>
          <w:u w:val="single"/>
          <w:lang w:val="en-US" w:eastAsia="zh-CN"/>
        </w:rPr>
        <w:t>纸板、纸</w:t>
      </w:r>
      <w:r>
        <w:rPr>
          <w:rFonts w:hint="eastAsia"/>
          <w:b/>
          <w:bCs w:val="0"/>
          <w:sz w:val="28"/>
          <w:szCs w:val="28"/>
          <w:u w:val="single"/>
          <w:lang w:val="en-US" w:eastAsia="zh-CN"/>
        </w:rPr>
        <w:t>护角</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lang w:val="en-US" w:eastAsia="zh-CN"/>
        </w:rPr>
        <w:t>三</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r>
        <w:rPr>
          <w:rFonts w:hint="eastAsia" w:asciiTheme="minorEastAsia" w:hAnsiTheme="minorEastAsia" w:eastAsiaTheme="minorEastAsia"/>
          <w:bCs/>
          <w:sz w:val="28"/>
          <w:szCs w:val="28"/>
          <w:lang w:eastAsia="zh-CN"/>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14</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23</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3</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2</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23</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3</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2</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2</w:t>
      </w:r>
      <w:bookmarkStart w:id="2" w:name="_GoBack"/>
      <w:bookmarkEnd w:id="2"/>
      <w:r>
        <w:rPr>
          <w:rFonts w:hint="eastAsia" w:ascii="宋体" w:hAnsi="宋体"/>
          <w:bCs/>
          <w:color w:val="000000" w:themeColor="text1"/>
          <w:sz w:val="28"/>
          <w:szCs w:val="28"/>
          <w:u w:val="single"/>
          <w:lang w:val="en-US" w:eastAsia="zh-CN"/>
          <w14:textFill>
            <w14:solidFill>
              <w14:schemeClr w14:val="tx1"/>
            </w14:solidFill>
          </w14:textFill>
        </w:rPr>
        <w:t>3</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3</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14日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cs="仿宋_GB2312" w:asciiTheme="minorEastAsia" w:hAnsiTheme="minorEastAsia" w:eastAsiaTheme="minorEastAsia"/>
                <w:b/>
                <w:bCs/>
                <w:color w:val="auto"/>
                <w:kern w:val="2"/>
                <w:sz w:val="28"/>
                <w:szCs w:val="28"/>
                <w:u w:val="single"/>
              </w:rPr>
              <w:t>综合评分</w:t>
            </w:r>
            <w:r>
              <w:rPr>
                <w:rFonts w:hint="eastAsia" w:hAnsi="宋体"/>
                <w:b/>
                <w:bCs/>
                <w:color w:val="auto"/>
                <w:kern w:val="2"/>
                <w:sz w:val="28"/>
                <w:szCs w:val="28"/>
                <w:u w:val="single"/>
              </w:rPr>
              <w:t>法</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198"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w:t>
      </w:r>
      <w:r>
        <w:rPr>
          <w:rFonts w:hint="eastAsia" w:cs="仿宋_GB2312" w:asciiTheme="minorEastAsia" w:hAnsiTheme="minorEastAsia" w:eastAsiaTheme="minorEastAsia"/>
          <w:color w:val="auto"/>
          <w:kern w:val="2"/>
          <w:sz w:val="28"/>
          <w:szCs w:val="28"/>
        </w:rPr>
        <w:t>综合评分法</w:t>
      </w:r>
      <w:r>
        <w:rPr>
          <w:rFonts w:hint="eastAsia" w:ascii="宋体" w:hAnsi="宋体"/>
          <w:bCs/>
          <w:sz w:val="28"/>
          <w:szCs w:val="28"/>
        </w:rPr>
        <w:t>评审。询价小组将对资格性审查、符合性审查合格的供应按</w:t>
      </w:r>
      <w:r>
        <w:rPr>
          <w:rFonts w:hint="eastAsia" w:cs="仿宋_GB2312" w:asciiTheme="minorEastAsia" w:hAnsiTheme="minorEastAsia" w:eastAsiaTheme="minorEastAsia"/>
          <w:color w:val="auto"/>
          <w:kern w:val="2"/>
          <w:sz w:val="28"/>
          <w:szCs w:val="28"/>
        </w:rPr>
        <w:t>综合评分法</w:t>
      </w:r>
      <w:r>
        <w:rPr>
          <w:rFonts w:hint="eastAsia" w:cs="仿宋_GB2312" w:asciiTheme="minorEastAsia" w:hAnsiTheme="minorEastAsia" w:eastAsiaTheme="minorEastAsia"/>
          <w:color w:val="auto"/>
          <w:kern w:val="2"/>
          <w:sz w:val="28"/>
          <w:szCs w:val="28"/>
          <w:lang w:val="en-US" w:eastAsia="zh-CN"/>
        </w:rPr>
        <w:t>进行</w:t>
      </w:r>
      <w:r>
        <w:rPr>
          <w:rFonts w:hint="eastAsia" w:ascii="宋体" w:hAnsi="宋体"/>
          <w:bCs/>
          <w:sz w:val="28"/>
          <w:szCs w:val="28"/>
        </w:rPr>
        <w:t>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1．本项目采用综合评分法评审，评审方案如下表：</w:t>
      </w:r>
    </w:p>
    <w:tbl>
      <w:tblPr>
        <w:tblStyle w:val="15"/>
        <w:tblpPr w:leftFromText="180" w:rightFromText="180" w:vertAnchor="text" w:horzAnchor="margin" w:tblpXSpec="center" w:tblpY="167"/>
        <w:tblW w:w="10580" w:type="dxa"/>
        <w:tblInd w:w="0" w:type="dxa"/>
        <w:tblLayout w:type="fixed"/>
        <w:tblCellMar>
          <w:top w:w="0" w:type="dxa"/>
          <w:left w:w="108" w:type="dxa"/>
          <w:bottom w:w="0" w:type="dxa"/>
          <w:right w:w="108" w:type="dxa"/>
        </w:tblCellMar>
      </w:tblPr>
      <w:tblGrid>
        <w:gridCol w:w="1080"/>
        <w:gridCol w:w="820"/>
        <w:gridCol w:w="1900"/>
        <w:gridCol w:w="2057"/>
        <w:gridCol w:w="4723"/>
      </w:tblGrid>
      <w:tr>
        <w:tblPrEx>
          <w:tblCellMar>
            <w:top w:w="0" w:type="dxa"/>
            <w:left w:w="108" w:type="dxa"/>
            <w:bottom w:w="0" w:type="dxa"/>
            <w:right w:w="108" w:type="dxa"/>
          </w:tblCellMar>
        </w:tblPrEx>
        <w:trPr>
          <w:trHeight w:val="285"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32"/>
                <w:szCs w:val="32"/>
              </w:rPr>
            </w:pPr>
            <w:r>
              <w:rPr>
                <w:rFonts w:hint="eastAsia" w:ascii="宋体" w:hAnsi="宋体" w:cs="宋体"/>
                <w:color w:val="000000"/>
                <w:kern w:val="0"/>
                <w:sz w:val="32"/>
                <w:szCs w:val="32"/>
              </w:rPr>
              <w:t>综合评分标准</w:t>
            </w:r>
          </w:p>
        </w:tc>
        <w:tc>
          <w:tcPr>
            <w:tcW w:w="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19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评分占比</w:t>
            </w:r>
          </w:p>
        </w:tc>
        <w:tc>
          <w:tcPr>
            <w:tcW w:w="20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评分项</w:t>
            </w:r>
          </w:p>
        </w:tc>
        <w:tc>
          <w:tcPr>
            <w:tcW w:w="472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w:t>
            </w:r>
          </w:p>
        </w:tc>
      </w:tr>
      <w:tr>
        <w:tblPrEx>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报价文件格式要求</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符合投标文件编制及装订要求，符合要求的得10分；一般不符合得6分；严重不符合得0分，视为无效投标；</w:t>
            </w:r>
          </w:p>
        </w:tc>
      </w:tr>
      <w:tr>
        <w:tblPrEx>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240" w:firstLineChars="100"/>
              <w:jc w:val="both"/>
              <w:rPr>
                <w:rFonts w:ascii="仿宋_GB2312" w:hAnsi="宋体" w:eastAsia="仿宋_GB2312" w:cs="宋体"/>
                <w:color w:val="000000"/>
                <w:kern w:val="0"/>
                <w:sz w:val="24"/>
              </w:rPr>
            </w:pPr>
            <w:r>
              <w:rPr>
                <w:rFonts w:hint="eastAsia" w:ascii="仿宋_GB2312" w:hAnsi="宋体" w:eastAsia="仿宋_GB2312" w:cs="宋体"/>
                <w:color w:val="000000"/>
                <w:kern w:val="0"/>
                <w:sz w:val="24"/>
              </w:rPr>
              <w:t>样品提供</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能按照询价文件要求提供样品，按照要求全部提供的得10分，有提供不全的一样扣3分，未提供的，则视作废标处置。</w:t>
            </w:r>
          </w:p>
        </w:tc>
      </w:tr>
      <w:tr>
        <w:tblPrEx>
          <w:tblCellMar>
            <w:top w:w="0" w:type="dxa"/>
            <w:left w:w="108" w:type="dxa"/>
            <w:bottom w:w="0" w:type="dxa"/>
            <w:right w:w="108" w:type="dxa"/>
          </w:tblCellMar>
        </w:tblPrEx>
        <w:trPr>
          <w:trHeight w:val="97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投标报价评分标准5%</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投标公司的业绩</w:t>
            </w:r>
          </w:p>
        </w:tc>
        <w:tc>
          <w:tcPr>
            <w:tcW w:w="4723" w:type="dxa"/>
            <w:tcBorders>
              <w:top w:val="nil"/>
              <w:left w:val="nil"/>
              <w:bottom w:val="single" w:color="auto" w:sz="4" w:space="0"/>
              <w:right w:val="single" w:color="auto" w:sz="4" w:space="0"/>
            </w:tcBorders>
            <w:shd w:val="clear" w:color="000000" w:fill="F5F5F5"/>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供应商具有在国内外中标和本次采购项目类似的过往业绩（附销售合同或中标通知书），每提供1个业绩，得1分，最高得5分。</w:t>
            </w:r>
          </w:p>
        </w:tc>
      </w:tr>
      <w:tr>
        <w:tblPrEx>
          <w:tblCellMar>
            <w:top w:w="0" w:type="dxa"/>
            <w:left w:w="108" w:type="dxa"/>
            <w:bottom w:w="0" w:type="dxa"/>
            <w:right w:w="108" w:type="dxa"/>
          </w:tblCellMar>
        </w:tblPrEx>
        <w:trPr>
          <w:trHeight w:val="130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技术要求响应</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对各供应商提供样品进行现场评判，有1项★号条款不满足做废标处理；每有1项一般条款不满足扣5分。</w:t>
            </w:r>
          </w:p>
        </w:tc>
      </w:tr>
      <w:tr>
        <w:tblPrEx>
          <w:tblCellMar>
            <w:top w:w="0" w:type="dxa"/>
            <w:left w:w="108" w:type="dxa"/>
            <w:bottom w:w="0" w:type="dxa"/>
            <w:right w:w="108" w:type="dxa"/>
          </w:tblCellMar>
        </w:tblPrEx>
        <w:trPr>
          <w:trHeight w:val="1230"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商务条款响应</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根据商务条款的响应文件进行评价，有1项★号条款不满足做废标处理；每有1项一般条款不满足扣3分，超过2项不满足作废标处理。</w:t>
            </w:r>
          </w:p>
        </w:tc>
      </w:tr>
      <w:tr>
        <w:tblPrEx>
          <w:tblCellMar>
            <w:top w:w="0" w:type="dxa"/>
            <w:left w:w="108" w:type="dxa"/>
            <w:bottom w:w="0" w:type="dxa"/>
            <w:right w:w="108" w:type="dxa"/>
          </w:tblCellMar>
        </w:tblPrEx>
        <w:trPr>
          <w:trHeight w:val="142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6</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投标报价评分标准35%</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w:t>
            </w:r>
          </w:p>
        </w:tc>
        <w:tc>
          <w:tcPr>
            <w:tcW w:w="4723" w:type="dxa"/>
            <w:tcBorders>
              <w:top w:val="nil"/>
              <w:left w:val="nil"/>
              <w:bottom w:val="single" w:color="auto" w:sz="4" w:space="0"/>
              <w:right w:val="single" w:color="auto" w:sz="4" w:space="0"/>
            </w:tcBorders>
            <w:shd w:val="clear" w:color="auto" w:fill="auto"/>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cs="宋体"/>
                <w:color w:val="000000"/>
                <w:kern w:val="0"/>
                <w:sz w:val="24"/>
                <w:szCs w:val="24"/>
                <w:lang w:val="en-US" w:eastAsia="zh-CN" w:bidi="ar-SA"/>
              </w:rPr>
            </w:pPr>
            <w:r>
              <w:rPr>
                <w:rFonts w:hint="eastAsia" w:ascii="仿宋_GB2312" w:hAnsi="宋体" w:eastAsia="仿宋_GB2312" w:cs="宋体"/>
                <w:color w:val="000000"/>
                <w:kern w:val="0"/>
                <w:sz w:val="24"/>
                <w:szCs w:val="24"/>
                <w:lang w:val="en-US" w:eastAsia="zh-CN" w:bidi="ar-SA"/>
              </w:rPr>
              <w:t>评分标准：</w:t>
            </w:r>
            <w:r>
              <w:rPr>
                <w:rFonts w:hint="default" w:ascii="仿宋_GB2312" w:hAnsi="宋体" w:eastAsia="仿宋_GB2312" w:cs="宋体"/>
                <w:color w:val="000000"/>
                <w:kern w:val="0"/>
                <w:sz w:val="24"/>
                <w:szCs w:val="24"/>
                <w:lang w:val="en-US" w:eastAsia="zh-CN" w:bidi="ar-SA"/>
              </w:rPr>
              <w:t>1</w:t>
            </w:r>
            <w:r>
              <w:rPr>
                <w:rFonts w:hint="eastAsia" w:ascii="仿宋_GB2312" w:hAnsi="宋体" w:eastAsia="仿宋_GB2312" w:cs="宋体"/>
                <w:color w:val="000000"/>
                <w:kern w:val="0"/>
                <w:sz w:val="24"/>
                <w:szCs w:val="24"/>
                <w:lang w:val="en-US" w:eastAsia="zh-CN" w:bidi="ar-SA"/>
              </w:rPr>
              <w:t>）当有效投标家数为</w:t>
            </w:r>
            <w:r>
              <w:rPr>
                <w:rFonts w:hint="default" w:ascii="仿宋_GB2312" w:hAnsi="宋体" w:eastAsia="仿宋_GB2312" w:cs="宋体"/>
                <w:color w:val="000000"/>
                <w:kern w:val="0"/>
                <w:sz w:val="24"/>
                <w:szCs w:val="24"/>
                <w:lang w:val="en-US" w:eastAsia="zh-CN" w:bidi="ar-SA"/>
              </w:rPr>
              <w:t>5家以上（含5家）时，去掉一个最高和最低投标报价，计算其余投标报价的算数平均值A；</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2）当有效投标家数少于5家时，计算所有投标报价的算术平均值B。</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3）评标基准价=A（B）×0.95</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投标报价等于评标基准价的投标人价格分为满分，投标报价与评标基准价相比，每高1%扣1分，每低1%扣0.5分，最多扣20分。按照线性插入法计算，精确到0.01分</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eastAsia" w:ascii="仿宋_GB2312" w:eastAsia="仿宋_GB2312" w:cs="宋体"/>
                <w:color w:val="000000"/>
                <w:kern w:val="0"/>
                <w:sz w:val="24"/>
                <w:szCs w:val="24"/>
                <w:lang w:val="en-US" w:eastAsia="zh-CN" w:bidi="ar-SA"/>
              </w:rPr>
              <w:t>4）</w:t>
            </w:r>
            <w:r>
              <w:rPr>
                <w:rFonts w:hint="eastAsia" w:ascii="仿宋_GB2312" w:hAnsi="宋体" w:eastAsia="仿宋_GB2312" w:cs="宋体"/>
                <w:color w:val="000000"/>
                <w:kern w:val="0"/>
                <w:sz w:val="24"/>
                <w:szCs w:val="24"/>
                <w:lang w:val="zh-CN" w:eastAsia="zh-CN" w:bidi="ar-SA"/>
              </w:rPr>
              <w:t>供应商所有品种报价评分的算术平均值为该供应商的报价得分。</w:t>
            </w:r>
          </w:p>
        </w:tc>
      </w:tr>
      <w:tr>
        <w:tblPrEx>
          <w:tblCellMar>
            <w:top w:w="0" w:type="dxa"/>
            <w:left w:w="108" w:type="dxa"/>
            <w:bottom w:w="0" w:type="dxa"/>
            <w:right w:w="108" w:type="dxa"/>
          </w:tblCellMar>
        </w:tblPrEx>
        <w:trPr>
          <w:trHeight w:val="31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总分</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100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100</w:t>
            </w:r>
            <w:r>
              <w:rPr>
                <w:rFonts w:hint="eastAsia" w:ascii="宋体" w:hAnsi="宋体"/>
                <w:color w:val="000000"/>
                <w:kern w:val="0"/>
                <w:sz w:val="24"/>
              </w:rPr>
              <w:t>分</w:t>
            </w:r>
          </w:p>
        </w:tc>
      </w:tr>
    </w:tbl>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商务及技术要求部分</w:t>
      </w:r>
    </w:p>
    <w:p>
      <w:pPr>
        <w:adjustRightInd w:val="0"/>
        <w:snapToGrid w:val="0"/>
        <w:spacing w:line="440" w:lineRule="exact"/>
        <w:ind w:right="399" w:rightChars="190"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一、商务要求</w:t>
      </w:r>
    </w:p>
    <w:p>
      <w:pPr>
        <w:snapToGrid w:val="0"/>
        <w:spacing w:line="440" w:lineRule="exact"/>
        <w:ind w:firstLine="560" w:firstLineChars="200"/>
        <w:textAlignment w:val="baseline"/>
        <w:rPr>
          <w:rFonts w:asciiTheme="minorEastAsia" w:hAnsiTheme="minorEastAsia" w:eastAsiaTheme="minorEastAsia"/>
          <w:sz w:val="28"/>
          <w:szCs w:val="28"/>
        </w:rPr>
      </w:pPr>
      <w:r>
        <w:rPr>
          <w:rFonts w:hint="eastAsia" w:asciiTheme="minorEastAsia" w:hAnsiTheme="minorEastAsia" w:eastAsiaTheme="minorEastAsia"/>
          <w:sz w:val="28"/>
          <w:szCs w:val="28"/>
        </w:rPr>
        <w:t>1.交货期及地点：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1.1</w:t>
      </w:r>
      <w:r>
        <w:rPr>
          <w:rFonts w:asciiTheme="minorEastAsia" w:hAnsiTheme="minorEastAsia" w:eastAsiaTheme="minorEastAsia"/>
          <w:sz w:val="28"/>
          <w:szCs w:val="28"/>
        </w:rPr>
        <w:t>交货地点</w:t>
      </w:r>
      <w:r>
        <w:rPr>
          <w:rFonts w:hint="eastAsia" w:asciiTheme="minorEastAsia" w:hAnsiTheme="minorEastAsia" w:eastAsiaTheme="minorEastAsia"/>
          <w:sz w:val="28"/>
          <w:szCs w:val="28"/>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成都奥格光学玻璃有限公司</w:t>
      </w:r>
      <w:r>
        <w:rPr>
          <w:rFonts w:hint="eastAsia" w:asciiTheme="minorEastAsia" w:hAnsiTheme="minorEastAsia" w:eastAsiaTheme="minorEastAsia"/>
          <w:sz w:val="28"/>
          <w:szCs w:val="28"/>
        </w:rPr>
        <w:t>；</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asciiTheme="minorEastAsia" w:hAnsiTheme="minorEastAsia" w:eastAsiaTheme="minorEastAsia"/>
          <w:sz w:val="28"/>
          <w:szCs w:val="28"/>
        </w:rPr>
        <w:t>交货</w:t>
      </w:r>
      <w:r>
        <w:rPr>
          <w:rFonts w:hint="eastAsia" w:asciiTheme="minorEastAsia" w:hAnsiTheme="minorEastAsia" w:eastAsiaTheme="minorEastAsia"/>
          <w:sz w:val="28"/>
          <w:szCs w:val="28"/>
        </w:rPr>
        <w:t>期：采购人发出采购订单7天内送达采购人指定地点。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★1.3货物送达后，由供应商负责装卸，并按照采购人要求进行堆放整齐。</w:t>
      </w:r>
    </w:p>
    <w:p>
      <w:pPr>
        <w:spacing w:line="440" w:lineRule="exact"/>
        <w:ind w:firstLine="548" w:firstLineChars="196"/>
        <w:rPr>
          <w:rFonts w:asciiTheme="minorEastAsia" w:hAnsiTheme="minorEastAsia" w:eastAsiaTheme="minorEastAsia"/>
          <w:sz w:val="28"/>
          <w:szCs w:val="28"/>
        </w:rPr>
      </w:pPr>
      <w:r>
        <w:rPr>
          <w:rFonts w:hint="eastAsia" w:asciiTheme="minorEastAsia" w:hAnsiTheme="minorEastAsia" w:eastAsiaTheme="minorEastAsia"/>
          <w:sz w:val="28"/>
          <w:szCs w:val="28"/>
        </w:rPr>
        <w:t>2.采购流程：</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2.1 年度采购合同签订后，采购人根据库房存货数量以及现场使用状况</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不定时向成交供应商发出采购订单。</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2.2供应商接到采购订单后，按照采购订单要求进行备货，保质、保量、</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按期交付产品。</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3.结算方式：</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3.1采用</w:t>
      </w:r>
      <w:r>
        <w:rPr>
          <w:rFonts w:hint="eastAsia" w:asciiTheme="minorEastAsia" w:hAnsiTheme="minorEastAsia" w:eastAsiaTheme="minorEastAsia"/>
          <w:sz w:val="28"/>
          <w:szCs w:val="28"/>
          <w:lang w:val="en-US" w:eastAsia="zh-CN"/>
        </w:rPr>
        <w:t>季度</w:t>
      </w:r>
      <w:r>
        <w:rPr>
          <w:rFonts w:hint="eastAsia" w:asciiTheme="minorEastAsia" w:hAnsiTheme="minorEastAsia" w:eastAsiaTheme="minorEastAsia"/>
          <w:sz w:val="28"/>
          <w:szCs w:val="28"/>
        </w:rPr>
        <w:t>结方式。每</w:t>
      </w:r>
      <w:r>
        <w:rPr>
          <w:rFonts w:hint="eastAsia" w:asciiTheme="minorEastAsia" w:hAnsiTheme="minorEastAsia" w:eastAsiaTheme="minorEastAsia"/>
          <w:sz w:val="28"/>
          <w:szCs w:val="28"/>
          <w:lang w:val="en-US" w:eastAsia="zh-CN"/>
        </w:rPr>
        <w:t>季度最后壹月</w:t>
      </w:r>
      <w:r>
        <w:rPr>
          <w:rFonts w:hint="eastAsia" w:asciiTheme="minorEastAsia" w:hAnsiTheme="minorEastAsia" w:eastAsiaTheme="minorEastAsia"/>
          <w:sz w:val="28"/>
          <w:szCs w:val="28"/>
        </w:rPr>
        <w:t>25日为结算日，供应商在27日前将对账单发给采购人进行核对；无误后，供应商开具发票至采购人</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采购人安排入账汇款。</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★3.2 如因供应商对账单提供信息或开具发票的信息错误，导致当</w:t>
      </w:r>
      <w:r>
        <w:rPr>
          <w:rFonts w:hint="eastAsia" w:asciiTheme="minorEastAsia" w:hAnsiTheme="minorEastAsia" w:eastAsiaTheme="minorEastAsia"/>
          <w:sz w:val="28"/>
          <w:szCs w:val="28"/>
          <w:lang w:val="en-US" w:eastAsia="zh-CN"/>
        </w:rPr>
        <w:t>季</w:t>
      </w:r>
      <w:r>
        <w:rPr>
          <w:rFonts w:hint="eastAsia" w:asciiTheme="minorEastAsia" w:hAnsiTheme="minorEastAsia" w:eastAsiaTheme="minorEastAsia"/>
          <w:sz w:val="28"/>
          <w:szCs w:val="28"/>
        </w:rPr>
        <w:t>结</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算未能及时入账的，供应商应承担扣罚本次采购金额5%的处罚。</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4．验收：</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4.1产品装卸前，采购人安排专人进行品质受入检抽查，若发现存在不</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符合采购要求或者质量要求的，供应商应负责调换，并且赔偿由此造成的一切损失。</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4.2产品受入检合格，采购人安排专人负责进行数量清点，存在缺失情</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况的，供应商应在规定时间内进行补齐，否则不给予办理入库。</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5.售后服务：</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5.1入库产品在使用过程中如因供应商生产工艺或加工问题造成产品破</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损、发霉变质的，供应商应在接到通知后2小时内赶赴采购人现场进行确认，并在2小时内补足产品数量，否则由此造成的一切损失由供应商承担。</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5.2 由于供应商产品质量造成的客户投诉，由此造成的一切损失由供应</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商承担。</w:t>
      </w:r>
    </w:p>
    <w:p>
      <w:pPr>
        <w:spacing w:line="540" w:lineRule="exact"/>
        <w:ind w:firstLine="560" w:firstLineChars="200"/>
        <w:rPr>
          <w:rFonts w:ascii="黑体" w:eastAsia="黑体" w:hAnsiTheme="minorEastAsia"/>
          <w:sz w:val="44"/>
          <w:szCs w:val="44"/>
        </w:rPr>
      </w:pPr>
      <w:r>
        <w:rPr>
          <w:rFonts w:hint="eastAsia" w:asciiTheme="minorEastAsia" w:hAnsiTheme="minorEastAsia" w:eastAsiaTheme="minorEastAsia"/>
          <w:sz w:val="28"/>
          <w:szCs w:val="28"/>
        </w:rPr>
        <w:t>二、技术要求</w:t>
      </w:r>
    </w:p>
    <w:tbl>
      <w:tblPr>
        <w:tblStyle w:val="15"/>
        <w:tblW w:w="8220" w:type="dxa"/>
        <w:jc w:val="center"/>
        <w:tblLayout w:type="fixed"/>
        <w:tblCellMar>
          <w:top w:w="0" w:type="dxa"/>
          <w:left w:w="0" w:type="dxa"/>
          <w:bottom w:w="0" w:type="dxa"/>
          <w:right w:w="0" w:type="dxa"/>
        </w:tblCellMar>
      </w:tblPr>
      <w:tblGrid>
        <w:gridCol w:w="1410"/>
        <w:gridCol w:w="1493"/>
        <w:gridCol w:w="3754"/>
        <w:gridCol w:w="1563"/>
      </w:tblGrid>
      <w:tr>
        <w:tblPrEx>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规格(mm)</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质量技术要求</w:t>
            </w:r>
          </w:p>
        </w:tc>
        <w:tc>
          <w:tcPr>
            <w:tcW w:w="1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备注</w:t>
            </w:r>
          </w:p>
        </w:tc>
      </w:tr>
      <w:tr>
        <w:tblPrEx>
          <w:tblCellMar>
            <w:top w:w="0" w:type="dxa"/>
            <w:left w:w="0" w:type="dxa"/>
            <w:bottom w:w="0" w:type="dxa"/>
            <w:right w:w="0" w:type="dxa"/>
          </w:tblCellMar>
        </w:tblPrEx>
        <w:trPr>
          <w:trHeight w:val="583" w:hRule="atLeast"/>
          <w:jc w:val="center"/>
        </w:trPr>
        <w:tc>
          <w:tcPr>
            <w:tcW w:w="141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385×155×135</w:t>
            </w:r>
          </w:p>
        </w:tc>
        <w:tc>
          <w:tcPr>
            <w:tcW w:w="3754"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★3、防水性能：水滴在纸板表面，要求两分钟无渗入纸张表面现象；</w:t>
            </w:r>
          </w:p>
          <w:p>
            <w:pPr>
              <w:keepNext w:val="0"/>
              <w:keepLines w:val="0"/>
              <w:widowControl/>
              <w:numPr>
                <w:ilvl w:val="0"/>
                <w:numId w:val="2"/>
              </w:numPr>
              <w:suppressLineNumbers w:val="0"/>
              <w:spacing w:before="0" w:beforeAutospacing="0" w:after="0" w:afterAutospacing="0"/>
              <w:ind w:left="0" w:right="0"/>
              <w:jc w:val="left"/>
              <w:textAlignment w:val="bottom"/>
              <w:rPr>
                <w:rFonts w:hint="eastAsia"/>
                <w:color w:val="auto"/>
              </w:rPr>
            </w:pPr>
            <w:r>
              <w:rPr>
                <w:rFonts w:hint="eastAsia"/>
                <w:color w:val="auto"/>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lang w:val="en-US" w:eastAsia="zh-CN"/>
              </w:rPr>
              <w:t>5、</w:t>
            </w:r>
            <w:r>
              <w:rPr>
                <w:rFonts w:hint="eastAsia"/>
                <w:color w:val="auto"/>
              </w:rPr>
              <w:t>原纸要求：采用玖龙纸业和理文纸业原纸</w:t>
            </w:r>
          </w:p>
          <w:p>
            <w:pPr>
              <w:keepNext w:val="0"/>
              <w:keepLines w:val="0"/>
              <w:widowControl/>
              <w:suppressLineNumbers w:val="0"/>
              <w:spacing w:before="0" w:beforeAutospacing="0" w:after="0" w:afterAutospacing="0"/>
              <w:ind w:left="0" w:right="0"/>
              <w:jc w:val="left"/>
              <w:textAlignment w:val="bottom"/>
              <w:rPr>
                <w:color w:val="auto"/>
              </w:rPr>
            </w:pPr>
            <w:r>
              <w:rPr>
                <w:rFonts w:hint="eastAsia"/>
                <w:color w:val="auto"/>
                <w:lang w:val="zh-CN"/>
              </w:rPr>
              <w:t xml:space="preserve">蓝色色标:CMYK C100 M60 Y20 </w:t>
            </w:r>
            <w:r>
              <w:rPr>
                <w:rFonts w:hint="eastAsia" w:ascii="幼圆" w:eastAsia="幼圆" w:cs="幼圆"/>
                <w:color w:val="auto"/>
                <w:kern w:val="0"/>
                <w:sz w:val="24"/>
                <w:szCs w:val="24"/>
                <w:lang w:val="zh-CN"/>
              </w:rPr>
              <w:t>K0</w:t>
            </w:r>
          </w:p>
        </w:tc>
        <w:tc>
          <w:tcPr>
            <w:tcW w:w="1563"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r>
              <w:rPr>
                <w:rFonts w:hint="eastAsia"/>
                <w:color w:val="auto"/>
              </w:rPr>
              <w:t>每样产品需提供标的样品</w:t>
            </w:r>
          </w:p>
        </w:tc>
      </w:tr>
      <w:tr>
        <w:tblPrEx>
          <w:tblCellMar>
            <w:top w:w="0" w:type="dxa"/>
            <w:left w:w="0" w:type="dxa"/>
            <w:bottom w:w="0" w:type="dxa"/>
            <w:right w:w="0" w:type="dxa"/>
          </w:tblCellMar>
        </w:tblPrEx>
        <w:trPr>
          <w:trHeight w:val="455" w:hRule="atLeast"/>
          <w:jc w:val="center"/>
        </w:trPr>
        <w:tc>
          <w:tcPr>
            <w:tcW w:w="1410"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493"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kern w:val="0"/>
                <w:sz w:val="20"/>
                <w:lang w:bidi="ar"/>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4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360×120×3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kern w:val="0"/>
                <w:sz w:val="20"/>
                <w:lang w:bidi="ar"/>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360×160×3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120×140×3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160×140×3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360×140×3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lang w:val="en-US" w:eastAsia="zh-CN"/>
              </w:rPr>
              <w:t>等边纸护角板</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en-US" w:eastAsia="zh-CN"/>
              </w:rPr>
              <w:t>750×60×60×5</w:t>
            </w:r>
          </w:p>
        </w:tc>
        <w:tc>
          <w:tcPr>
            <w:tcW w:w="3754"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bl>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pStyle w:val="2"/>
        <w:rPr>
          <w:rFonts w:hint="eastAsia" w:ascii="黑体" w:eastAsia="黑体" w:hAnsiTheme="minorEastAsia"/>
          <w:sz w:val="44"/>
          <w:szCs w:val="44"/>
        </w:rPr>
      </w:pPr>
    </w:p>
    <w:p>
      <w:pPr>
        <w:pStyle w:val="2"/>
        <w:rPr>
          <w:rFonts w:hint="eastAsia" w:ascii="黑体" w:eastAsia="黑体" w:hAnsiTheme="minorEastAsia"/>
          <w:sz w:val="44"/>
          <w:szCs w:val="44"/>
        </w:rPr>
      </w:pPr>
    </w:p>
    <w:p>
      <w:pPr>
        <w:pStyle w:val="2"/>
        <w:rPr>
          <w:rFonts w:hint="eastAsia" w:ascii="黑体" w:eastAsia="黑体" w:hAnsiTheme="minorEastAsia"/>
          <w:sz w:val="44"/>
          <w:szCs w:val="44"/>
        </w:rPr>
      </w:pPr>
      <w:r>
        <w:drawing>
          <wp:anchor distT="0" distB="0" distL="114300" distR="114300" simplePos="0" relativeHeight="251659264" behindDoc="0" locked="0" layoutInCell="1" allowOverlap="1">
            <wp:simplePos x="0" y="0"/>
            <wp:positionH relativeFrom="margin">
              <wp:posOffset>-817880</wp:posOffset>
            </wp:positionH>
            <wp:positionV relativeFrom="margin">
              <wp:posOffset>1814830</wp:posOffset>
            </wp:positionV>
            <wp:extent cx="7439660" cy="3260090"/>
            <wp:effectExtent l="0" t="0" r="8890" b="1651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7439660" cy="3260090"/>
                    </a:xfrm>
                    <a:prstGeom prst="rect">
                      <a:avLst/>
                    </a:prstGeom>
                  </pic:spPr>
                </pic:pic>
              </a:graphicData>
            </a:graphic>
          </wp:anchor>
        </w:drawing>
      </w:r>
    </w:p>
    <w:p>
      <w:pPr>
        <w:pStyle w:val="2"/>
        <w:rPr>
          <w:rFonts w:hint="eastAsia" w:ascii="黑体" w:eastAsia="黑体" w:hAnsiTheme="minorEastAsia"/>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213"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张</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以上价格有效期为1年，有效期内</w:t>
            </w:r>
            <w:r>
              <w:rPr>
                <w:rFonts w:hint="eastAsia" w:ascii="仿宋_GB2312" w:hAnsi="宋体" w:eastAsia="仿宋_GB2312" w:cs="宋体"/>
                <w:bCs/>
                <w:color w:val="000000"/>
                <w:kern w:val="0"/>
                <w:sz w:val="24"/>
                <w:szCs w:val="24"/>
                <w:lang w:val="en-US" w:eastAsia="zh-CN"/>
              </w:rPr>
              <w:t>如因</w:t>
            </w:r>
            <w:r>
              <w:rPr>
                <w:rFonts w:hint="eastAsia" w:ascii="仿宋_GB2312" w:hAnsi="宋体" w:eastAsia="仿宋_GB2312" w:cs="宋体"/>
                <w:bCs/>
                <w:color w:val="000000"/>
                <w:kern w:val="0"/>
                <w:sz w:val="24"/>
                <w:szCs w:val="24"/>
              </w:rPr>
              <w:t>原材料等涨幅达10%以上，</w:t>
            </w:r>
            <w:r>
              <w:rPr>
                <w:rFonts w:hint="eastAsia" w:ascii="仿宋_GB2312" w:hAnsi="宋体" w:eastAsia="仿宋_GB2312" w:cs="宋体"/>
                <w:bCs/>
                <w:color w:val="000000"/>
                <w:kern w:val="0"/>
                <w:sz w:val="24"/>
                <w:szCs w:val="24"/>
                <w:lang w:val="en-US" w:eastAsia="zh-CN"/>
              </w:rPr>
              <w:t>供</w:t>
            </w:r>
            <w:r>
              <w:rPr>
                <w:rFonts w:hint="eastAsia" w:ascii="仿宋_GB2312" w:hAnsi="宋体" w:eastAsia="仿宋_GB2312" w:cs="宋体"/>
                <w:bCs/>
                <w:color w:val="000000"/>
                <w:kern w:val="0"/>
                <w:sz w:val="24"/>
                <w:szCs w:val="24"/>
              </w:rPr>
              <w:t>方有权与</w:t>
            </w:r>
            <w:r>
              <w:rPr>
                <w:rFonts w:hint="eastAsia" w:ascii="仿宋_GB2312" w:hAnsi="宋体" w:eastAsia="仿宋_GB2312" w:cs="宋体"/>
                <w:bCs/>
                <w:color w:val="000000"/>
                <w:kern w:val="0"/>
                <w:sz w:val="24"/>
                <w:szCs w:val="24"/>
                <w:lang w:val="en-US" w:eastAsia="zh-CN"/>
              </w:rPr>
              <w:t>需</w:t>
            </w:r>
            <w:r>
              <w:rPr>
                <w:rFonts w:hint="eastAsia" w:ascii="仿宋_GB2312" w:hAnsi="宋体" w:eastAsia="仿宋_GB2312" w:cs="宋体"/>
                <w:bCs/>
                <w:color w:val="000000"/>
                <w:kern w:val="0"/>
                <w:sz w:val="24"/>
                <w:szCs w:val="24"/>
              </w:rPr>
              <w:t>方商议，</w:t>
            </w:r>
            <w:r>
              <w:rPr>
                <w:rFonts w:hint="eastAsia" w:ascii="仿宋_GB2312" w:hAnsi="宋体" w:eastAsia="仿宋_GB2312" w:cs="宋体"/>
                <w:bCs/>
                <w:color w:val="000000"/>
                <w:kern w:val="0"/>
                <w:sz w:val="24"/>
                <w:szCs w:val="24"/>
                <w:lang w:val="en-US" w:eastAsia="zh-CN"/>
              </w:rPr>
              <w:t>经需方同意后方可</w:t>
            </w:r>
            <w:r>
              <w:rPr>
                <w:rFonts w:hint="eastAsia" w:ascii="仿宋_GB2312" w:hAnsi="宋体" w:eastAsia="仿宋_GB2312" w:cs="宋体"/>
                <w:bCs/>
                <w:color w:val="000000"/>
                <w:kern w:val="0"/>
                <w:sz w:val="24"/>
                <w:szCs w:val="24"/>
              </w:rPr>
              <w:t>调整价格</w:t>
            </w:r>
            <w:r>
              <w:rPr>
                <w:rFonts w:hint="eastAsia" w:ascii="仿宋_GB2312" w:hAnsi="宋体" w:eastAsia="仿宋_GB2312" w:cs="宋体"/>
                <w:bCs/>
                <w:color w:val="000000"/>
                <w:kern w:val="0"/>
                <w:sz w:val="24"/>
                <w:szCs w:val="24"/>
                <w:lang w:val="en-US" w:eastAsia="zh-CN"/>
              </w:rPr>
              <w:t>并签订补充协议。</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二、质量要求、技术标准：（符合GB/T6543-2008</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标准及绿色物品采购要求）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7"/>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货到验收合格后供方每季度开具13%全额增值税专用发票，需方在5个工作日内付清货款。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项目名称：202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年度包装纸箱</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lang w:val="en-US" w:eastAsia="zh-CN"/>
        </w:rPr>
        <w:t>纸板、纸护角</w:t>
      </w:r>
      <w:r>
        <w:rPr>
          <w:rFonts w:hint="eastAsia" w:asciiTheme="minorEastAsia" w:hAnsiTheme="minorEastAsia" w:eastAsiaTheme="minorEastAsia"/>
          <w:sz w:val="28"/>
          <w:szCs w:val="28"/>
        </w:rPr>
        <w:t>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hint="eastAsia" w:ascii="黑体" w:hAnsi="黑体" w:eastAsia="黑体"/>
          <w:sz w:val="44"/>
          <w:szCs w:val="44"/>
        </w:rPr>
      </w:pPr>
      <w:r>
        <w:rPr>
          <w:rFonts w:hint="eastAsia" w:ascii="黑体" w:hAnsi="黑体" w:eastAsia="黑体"/>
          <w:sz w:val="44"/>
          <w:szCs w:val="44"/>
        </w:rPr>
        <w:t>报 价 表</w:t>
      </w:r>
    </w:p>
    <w:tbl>
      <w:tblPr>
        <w:tblStyle w:val="15"/>
        <w:tblW w:w="9986" w:type="dxa"/>
        <w:jc w:val="center"/>
        <w:tblLayout w:type="fixed"/>
        <w:tblCellMar>
          <w:top w:w="0" w:type="dxa"/>
          <w:left w:w="0" w:type="dxa"/>
          <w:bottom w:w="0" w:type="dxa"/>
          <w:right w:w="0" w:type="dxa"/>
        </w:tblCellMar>
      </w:tblPr>
      <w:tblGrid>
        <w:gridCol w:w="1457"/>
        <w:gridCol w:w="1694"/>
        <w:gridCol w:w="3356"/>
        <w:gridCol w:w="702"/>
        <w:gridCol w:w="906"/>
        <w:gridCol w:w="939"/>
        <w:gridCol w:w="932"/>
      </w:tblGrid>
      <w:tr>
        <w:tblPrEx>
          <w:tblCellMar>
            <w:top w:w="0" w:type="dxa"/>
            <w:left w:w="0" w:type="dxa"/>
            <w:bottom w:w="0" w:type="dxa"/>
            <w:right w:w="0" w:type="dxa"/>
          </w:tblCellMar>
        </w:tblPrEx>
        <w:trPr>
          <w:trHeight w:val="630"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产品名称</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规格(mm)</w:t>
            </w:r>
          </w:p>
        </w:tc>
        <w:tc>
          <w:tcPr>
            <w:tcW w:w="3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质量技术要求</w:t>
            </w:r>
          </w:p>
        </w:tc>
        <w:tc>
          <w:tcPr>
            <w:tcW w:w="70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both"/>
              <w:textAlignment w:val="bottom"/>
              <w:rPr>
                <w:rFonts w:hint="eastAsia" w:cs="宋体" w:asciiTheme="minorEastAsia" w:hAnsiTheme="minorEastAsia" w:eastAsiaTheme="minorEastAsia"/>
                <w:color w:val="auto"/>
                <w:sz w:val="24"/>
                <w:lang w:val="en-US" w:eastAsia="zh-CN"/>
              </w:rPr>
            </w:pPr>
            <w:r>
              <w:rPr>
                <w:rFonts w:hint="eastAsia" w:cs="宋体" w:asciiTheme="minorEastAsia" w:hAnsiTheme="minorEastAsia" w:eastAsiaTheme="minorEastAsia"/>
                <w:color w:val="auto"/>
                <w:sz w:val="24"/>
                <w:lang w:val="en-US" w:eastAsia="zh-CN"/>
              </w:rPr>
              <w:t>单位</w:t>
            </w:r>
          </w:p>
        </w:tc>
        <w:tc>
          <w:tcPr>
            <w:tcW w:w="906"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eastAsia="zh-CN" w:bidi="ar"/>
              </w:rPr>
            </w:pPr>
            <w:r>
              <w:rPr>
                <w:rFonts w:hint="eastAsia" w:cs="宋体" w:asciiTheme="minorEastAsia" w:hAnsiTheme="minorEastAsia" w:eastAsiaTheme="minorEastAsia"/>
                <w:color w:val="auto"/>
                <w:kern w:val="0"/>
                <w:sz w:val="24"/>
                <w:lang w:bidi="ar"/>
              </w:rPr>
              <w:t>含税单价</w:t>
            </w:r>
            <w:r>
              <w:rPr>
                <w:rFonts w:hint="eastAsia" w:cs="宋体" w:asciiTheme="minorEastAsia" w:hAnsiTheme="minorEastAsia" w:eastAsiaTheme="minorEastAsia"/>
                <w:color w:val="auto"/>
                <w:kern w:val="0"/>
                <w:sz w:val="24"/>
                <w:lang w:eastAsia="zh-CN" w:bidi="ar"/>
              </w:rPr>
              <w:t>（</w:t>
            </w:r>
            <w:r>
              <w:rPr>
                <w:rFonts w:hint="eastAsia" w:cs="宋体" w:asciiTheme="minorEastAsia" w:hAnsiTheme="minorEastAsia" w:eastAsiaTheme="minorEastAsia"/>
                <w:color w:val="auto"/>
                <w:kern w:val="0"/>
                <w:sz w:val="24"/>
                <w:lang w:val="en-US" w:eastAsia="zh-CN" w:bidi="ar"/>
              </w:rPr>
              <w:t>元</w:t>
            </w:r>
            <w:r>
              <w:rPr>
                <w:rFonts w:hint="eastAsia" w:cs="宋体" w:asciiTheme="minorEastAsia" w:hAnsiTheme="minorEastAsia" w:eastAsiaTheme="minorEastAsia"/>
                <w:color w:val="auto"/>
                <w:kern w:val="0"/>
                <w:sz w:val="24"/>
                <w:lang w:eastAsia="zh-CN" w:bidi="ar"/>
              </w:rPr>
              <w:t>）</w:t>
            </w:r>
          </w:p>
        </w:tc>
        <w:tc>
          <w:tcPr>
            <w:tcW w:w="939"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交付期（天）</w:t>
            </w:r>
          </w:p>
        </w:tc>
        <w:tc>
          <w:tcPr>
            <w:tcW w:w="93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备注</w:t>
            </w:r>
          </w:p>
        </w:tc>
      </w:tr>
      <w:tr>
        <w:tblPrEx>
          <w:tblCellMar>
            <w:top w:w="0" w:type="dxa"/>
            <w:left w:w="0" w:type="dxa"/>
            <w:bottom w:w="0" w:type="dxa"/>
            <w:right w:w="0" w:type="dxa"/>
          </w:tblCellMar>
        </w:tblPrEx>
        <w:trPr>
          <w:trHeight w:val="523"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385×155×135</w:t>
            </w:r>
          </w:p>
        </w:tc>
        <w:tc>
          <w:tcPr>
            <w:tcW w:w="3356"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★3、防水性能：水滴在纸板表面，要求两分钟无渗入纸张表面现象；</w:t>
            </w:r>
          </w:p>
          <w:p>
            <w:pPr>
              <w:keepNext w:val="0"/>
              <w:keepLines w:val="0"/>
              <w:widowControl/>
              <w:numPr>
                <w:ilvl w:val="0"/>
                <w:numId w:val="2"/>
              </w:numPr>
              <w:suppressLineNumbers w:val="0"/>
              <w:spacing w:before="0" w:beforeAutospacing="0" w:after="0" w:afterAutospacing="0"/>
              <w:ind w:left="0" w:right="0"/>
              <w:jc w:val="left"/>
              <w:textAlignment w:val="bottom"/>
              <w:rPr>
                <w:rFonts w:hint="eastAsia"/>
                <w:color w:val="auto"/>
              </w:rPr>
            </w:pPr>
            <w:r>
              <w:rPr>
                <w:rFonts w:hint="eastAsia"/>
                <w:color w:val="auto"/>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eastAsia="宋体"/>
                <w:color w:val="auto"/>
                <w:lang w:eastAsia="zh-CN"/>
              </w:rPr>
            </w:pPr>
            <w:r>
              <w:rPr>
                <w:rFonts w:hint="eastAsia"/>
                <w:color w:val="auto"/>
                <w:lang w:val="en-US" w:eastAsia="zh-CN"/>
              </w:rPr>
              <w:t>5、</w:t>
            </w:r>
            <w:r>
              <w:rPr>
                <w:rFonts w:hint="eastAsia"/>
                <w:color w:val="auto"/>
              </w:rPr>
              <w:t>原纸要求：采用玖龙纸业和理文纸业原纸</w:t>
            </w:r>
            <w:r>
              <w:rPr>
                <w:rFonts w:hint="eastAsia"/>
                <w:color w:val="auto"/>
                <w:lang w:eastAsia="zh-CN"/>
              </w:rPr>
              <w:t>。</w:t>
            </w:r>
          </w:p>
          <w:p>
            <w:pPr>
              <w:keepNext w:val="0"/>
              <w:keepLines w:val="0"/>
              <w:widowControl/>
              <w:suppressLineNumbers w:val="0"/>
              <w:spacing w:before="0" w:beforeAutospacing="0" w:after="0" w:afterAutospacing="0"/>
              <w:ind w:left="0" w:right="0"/>
              <w:jc w:val="left"/>
              <w:textAlignment w:val="bottom"/>
              <w:rPr>
                <w:color w:val="auto"/>
              </w:rPr>
            </w:pPr>
            <w:r>
              <w:rPr>
                <w:rFonts w:hint="eastAsia"/>
                <w:color w:val="auto"/>
                <w:lang w:val="zh-CN"/>
              </w:rPr>
              <w:t xml:space="preserve">蓝色色标:CMYK C100 M60 Y20 </w:t>
            </w:r>
            <w:r>
              <w:rPr>
                <w:rFonts w:hint="eastAsia" w:ascii="幼圆" w:eastAsia="幼圆" w:cs="幼圆"/>
                <w:color w:val="auto"/>
                <w:kern w:val="0"/>
                <w:sz w:val="24"/>
                <w:szCs w:val="24"/>
                <w:lang w:val="zh-CN"/>
              </w:rPr>
              <w:t>K0</w:t>
            </w:r>
          </w:p>
        </w:tc>
        <w:tc>
          <w:tcPr>
            <w:tcW w:w="702"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sz w:val="24"/>
                <w:lang w:val="en-US" w:eastAsia="zh-CN"/>
              </w:rPr>
            </w:pPr>
            <w:r>
              <w:rPr>
                <w:rFonts w:hint="eastAsia" w:cs="宋体" w:asciiTheme="minorEastAsia" w:hAnsiTheme="minorEastAsia" w:eastAsiaTheme="minorEastAsia"/>
                <w:color w:val="auto"/>
                <w:sz w:val="24"/>
                <w:lang w:val="en-US" w:eastAsia="zh-CN"/>
              </w:rPr>
              <w:t>个</w:t>
            </w:r>
          </w:p>
        </w:tc>
        <w:tc>
          <w:tcPr>
            <w:tcW w:w="906"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9"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2" w:type="dxa"/>
            <w:vMerge w:val="restart"/>
            <w:tcBorders>
              <w:top w:val="single" w:color="000000" w:sz="4" w:space="0"/>
              <w:left w:val="single" w:color="auto"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r>
              <w:rPr>
                <w:rFonts w:hint="eastAsia"/>
                <w:color w:val="auto"/>
              </w:rPr>
              <w:t>需提供竞标样品</w:t>
            </w:r>
          </w:p>
        </w:tc>
      </w:tr>
      <w:tr>
        <w:tblPrEx>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05"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09" w:hRule="atLeast"/>
          <w:jc w:val="center"/>
        </w:trPr>
        <w:tc>
          <w:tcPr>
            <w:tcW w:w="1457" w:type="dxa"/>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360×120×3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360×160×3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120×140×3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30"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p>
        </w:tc>
        <w:tc>
          <w:tcPr>
            <w:tcW w:w="1694" w:type="dxa"/>
            <w:vMerge w:val="continue"/>
            <w:tcBorders>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lang w:val="en-US" w:eastAsia="zh-CN"/>
              </w:rPr>
              <w:t>等边纸护角板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en-US" w:eastAsia="zh-CN"/>
              </w:rPr>
              <w:t>750×60×60×5</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71"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lang w:val="en-US" w:eastAsia="zh-CN"/>
              </w:rPr>
            </w:pPr>
          </w:p>
        </w:tc>
        <w:tc>
          <w:tcPr>
            <w:tcW w:w="1694" w:type="dxa"/>
            <w:vMerge w:val="continue"/>
            <w:tcBorders>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en-US" w:eastAsia="zh-CN"/>
              </w:rPr>
            </w:pPr>
          </w:p>
        </w:tc>
        <w:tc>
          <w:tcPr>
            <w:tcW w:w="3356"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bl>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备注：数量为意向性数量，具体交货日期和数量以需方每次提供的订单为准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hint="eastAsia"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jc w:val="center"/>
        <w:rPr>
          <w:rFonts w:hint="eastAsia" w:eastAsia="黑体"/>
          <w:sz w:val="30"/>
          <w:szCs w:val="30"/>
        </w:rPr>
      </w:pPr>
    </w:p>
    <w:p>
      <w:pPr>
        <w:jc w:val="center"/>
        <w:rPr>
          <w:rFonts w:hint="eastAsia" w:eastAsia="黑体"/>
          <w:sz w:val="30"/>
          <w:szCs w:val="30"/>
        </w:rPr>
      </w:pPr>
    </w:p>
    <w:p>
      <w:pPr>
        <w:jc w:val="center"/>
        <w:rPr>
          <w:rFonts w:hint="eastAsia" w:eastAsia="黑体"/>
          <w:sz w:val="30"/>
          <w:szCs w:val="30"/>
        </w:rPr>
      </w:pPr>
    </w:p>
    <w:p>
      <w:pPr>
        <w:jc w:val="center"/>
        <w:rPr>
          <w:rFonts w:hint="eastAsia" w:eastAsia="黑体"/>
          <w:sz w:val="30"/>
          <w:szCs w:val="30"/>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附件五：</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企业营业执照复印件、法人身份证复印件、授权代表人身份证复印件、过往业绩（合同或者中标通知函）以及与本项目相关的其他资质证明材料。</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abstractNum w:abstractNumId="1">
    <w:nsid w:val="6E9552E5"/>
    <w:multiLevelType w:val="singleLevel"/>
    <w:tmpl w:val="6E9552E5"/>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2F10ECA"/>
    <w:rsid w:val="05250232"/>
    <w:rsid w:val="05E132E2"/>
    <w:rsid w:val="063C5A14"/>
    <w:rsid w:val="07987184"/>
    <w:rsid w:val="07CA2E31"/>
    <w:rsid w:val="07E21FBD"/>
    <w:rsid w:val="08FE521C"/>
    <w:rsid w:val="091E4B91"/>
    <w:rsid w:val="09563EF1"/>
    <w:rsid w:val="096F29A7"/>
    <w:rsid w:val="0A001C9D"/>
    <w:rsid w:val="0A1D1865"/>
    <w:rsid w:val="0C634BD8"/>
    <w:rsid w:val="0CC55A09"/>
    <w:rsid w:val="0E377879"/>
    <w:rsid w:val="0F3E42FB"/>
    <w:rsid w:val="0FEB2143"/>
    <w:rsid w:val="110123EC"/>
    <w:rsid w:val="11323F04"/>
    <w:rsid w:val="115C1106"/>
    <w:rsid w:val="124D485B"/>
    <w:rsid w:val="12D30873"/>
    <w:rsid w:val="13F137BB"/>
    <w:rsid w:val="14065285"/>
    <w:rsid w:val="150177FB"/>
    <w:rsid w:val="152B4878"/>
    <w:rsid w:val="1539366D"/>
    <w:rsid w:val="158242C4"/>
    <w:rsid w:val="15923183"/>
    <w:rsid w:val="170209AC"/>
    <w:rsid w:val="182E0907"/>
    <w:rsid w:val="185D717A"/>
    <w:rsid w:val="1884363C"/>
    <w:rsid w:val="189C1D14"/>
    <w:rsid w:val="18AC098C"/>
    <w:rsid w:val="19AE0A66"/>
    <w:rsid w:val="1A580283"/>
    <w:rsid w:val="1ACB068F"/>
    <w:rsid w:val="1B5E2AC5"/>
    <w:rsid w:val="1BA66BB0"/>
    <w:rsid w:val="1BC21D75"/>
    <w:rsid w:val="1BDE6581"/>
    <w:rsid w:val="1C9F4F32"/>
    <w:rsid w:val="1D7A3DCD"/>
    <w:rsid w:val="1DC079EB"/>
    <w:rsid w:val="1EB10461"/>
    <w:rsid w:val="1F79249D"/>
    <w:rsid w:val="1F7E6B12"/>
    <w:rsid w:val="20555135"/>
    <w:rsid w:val="20982747"/>
    <w:rsid w:val="20EC032D"/>
    <w:rsid w:val="212958D0"/>
    <w:rsid w:val="21402A14"/>
    <w:rsid w:val="22BC513A"/>
    <w:rsid w:val="22CD3B1D"/>
    <w:rsid w:val="23FF15A7"/>
    <w:rsid w:val="24227AC4"/>
    <w:rsid w:val="24727DCD"/>
    <w:rsid w:val="251229B4"/>
    <w:rsid w:val="2552591F"/>
    <w:rsid w:val="2661284D"/>
    <w:rsid w:val="26EF6AF0"/>
    <w:rsid w:val="27B91ECD"/>
    <w:rsid w:val="2904734B"/>
    <w:rsid w:val="29564161"/>
    <w:rsid w:val="29F32ED7"/>
    <w:rsid w:val="2A156F80"/>
    <w:rsid w:val="2C1A2780"/>
    <w:rsid w:val="2C6923FD"/>
    <w:rsid w:val="2C774837"/>
    <w:rsid w:val="2D072546"/>
    <w:rsid w:val="2D2F7E73"/>
    <w:rsid w:val="2E5A25BB"/>
    <w:rsid w:val="2E7D4C62"/>
    <w:rsid w:val="31723C4D"/>
    <w:rsid w:val="31C1166C"/>
    <w:rsid w:val="32946B1A"/>
    <w:rsid w:val="32C1403B"/>
    <w:rsid w:val="33E211B1"/>
    <w:rsid w:val="348C1BA6"/>
    <w:rsid w:val="358332CD"/>
    <w:rsid w:val="359456BA"/>
    <w:rsid w:val="37300E43"/>
    <w:rsid w:val="3769786B"/>
    <w:rsid w:val="37D64B9C"/>
    <w:rsid w:val="38045EDE"/>
    <w:rsid w:val="381E37F9"/>
    <w:rsid w:val="38D3045D"/>
    <w:rsid w:val="3C763EB8"/>
    <w:rsid w:val="3C830F6D"/>
    <w:rsid w:val="3F4F38AB"/>
    <w:rsid w:val="40514C3A"/>
    <w:rsid w:val="40A37703"/>
    <w:rsid w:val="415A73C9"/>
    <w:rsid w:val="41743CC1"/>
    <w:rsid w:val="43B6398B"/>
    <w:rsid w:val="43D57AC6"/>
    <w:rsid w:val="43EA2D29"/>
    <w:rsid w:val="44115403"/>
    <w:rsid w:val="450B6906"/>
    <w:rsid w:val="47C16692"/>
    <w:rsid w:val="47F45782"/>
    <w:rsid w:val="48842CFB"/>
    <w:rsid w:val="488B5B56"/>
    <w:rsid w:val="4904684F"/>
    <w:rsid w:val="49D33CD8"/>
    <w:rsid w:val="4C03387D"/>
    <w:rsid w:val="4C325550"/>
    <w:rsid w:val="4C5B2AFF"/>
    <w:rsid w:val="4E0D02DA"/>
    <w:rsid w:val="4E676A14"/>
    <w:rsid w:val="4EA975DE"/>
    <w:rsid w:val="4F246130"/>
    <w:rsid w:val="4F837218"/>
    <w:rsid w:val="4FF17C99"/>
    <w:rsid w:val="50CA7C23"/>
    <w:rsid w:val="52010237"/>
    <w:rsid w:val="52795ABF"/>
    <w:rsid w:val="52D36688"/>
    <w:rsid w:val="53BB5D38"/>
    <w:rsid w:val="55AA50C4"/>
    <w:rsid w:val="55E85D30"/>
    <w:rsid w:val="563D5D39"/>
    <w:rsid w:val="571F46BA"/>
    <w:rsid w:val="582F4FA6"/>
    <w:rsid w:val="58EE7C08"/>
    <w:rsid w:val="59525DE4"/>
    <w:rsid w:val="5BA84B60"/>
    <w:rsid w:val="5C1B42CB"/>
    <w:rsid w:val="5C69772C"/>
    <w:rsid w:val="5D892572"/>
    <w:rsid w:val="5E8E0B7D"/>
    <w:rsid w:val="5FFB256E"/>
    <w:rsid w:val="608523A4"/>
    <w:rsid w:val="61AA5F76"/>
    <w:rsid w:val="629E3F6A"/>
    <w:rsid w:val="62D129BE"/>
    <w:rsid w:val="62F0573E"/>
    <w:rsid w:val="63623A3E"/>
    <w:rsid w:val="637D216D"/>
    <w:rsid w:val="644F535A"/>
    <w:rsid w:val="649966D5"/>
    <w:rsid w:val="65375DB8"/>
    <w:rsid w:val="65947435"/>
    <w:rsid w:val="65B7650F"/>
    <w:rsid w:val="665F0957"/>
    <w:rsid w:val="69276C94"/>
    <w:rsid w:val="6AA03291"/>
    <w:rsid w:val="6AF17C50"/>
    <w:rsid w:val="6C9C1952"/>
    <w:rsid w:val="6CAC0E82"/>
    <w:rsid w:val="6CF33C64"/>
    <w:rsid w:val="705F270B"/>
    <w:rsid w:val="70B60DD1"/>
    <w:rsid w:val="71463740"/>
    <w:rsid w:val="718627B6"/>
    <w:rsid w:val="71E97E38"/>
    <w:rsid w:val="72392BD7"/>
    <w:rsid w:val="732E4FC5"/>
    <w:rsid w:val="74701B57"/>
    <w:rsid w:val="750139B7"/>
    <w:rsid w:val="75D532E5"/>
    <w:rsid w:val="769237AF"/>
    <w:rsid w:val="76E0183B"/>
    <w:rsid w:val="77ED68D1"/>
    <w:rsid w:val="782A67A1"/>
    <w:rsid w:val="79805769"/>
    <w:rsid w:val="7BE81EEB"/>
    <w:rsid w:val="7C8B2820"/>
    <w:rsid w:val="7DE62533"/>
    <w:rsid w:val="7DFA17E2"/>
    <w:rsid w:val="7E5B78A0"/>
    <w:rsid w:val="7EDB6BBE"/>
    <w:rsid w:val="7F1A654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6188</Words>
  <Characters>6681</Characters>
  <Lines>64</Lines>
  <Paragraphs>18</Paragraphs>
  <TotalTime>12</TotalTime>
  <ScaleCrop>false</ScaleCrop>
  <LinksUpToDate>false</LinksUpToDate>
  <CharactersWithSpaces>7302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2023-02-01T05:27:00Z</cp:lastPrinted>
  <dcterms:modified xsi:type="dcterms:W3CDTF">2023-02-14T05:38:32Z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069EFB4F6A8845B6BBE033D848F5A6F8</vt:lpwstr>
  </property>
</Properties>
</file>